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01" w:rsidRDefault="00F16F01" w:rsidP="00F16F01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inherit" w:hAnsi="inherit" w:cs="Helvetica"/>
          <w:color w:val="444444"/>
          <w:sz w:val="18"/>
          <w:szCs w:val="18"/>
          <w:lang w:val="en-US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Peter-Paul Verbeek</w:t>
      </w:r>
      <w:r>
        <w:rPr>
          <w:rFonts w:ascii="Arial" w:hAnsi="Arial" w:cs="Arial"/>
          <w:sz w:val="45"/>
          <w:szCs w:val="45"/>
          <w:shd w:val="clear" w:color="auto" w:fill="FFFFFF"/>
        </w:rPr>
        <w:br/>
      </w:r>
      <w:bookmarkStart w:id="0" w:name="_GoBack"/>
      <w:bookmarkEnd w:id="0"/>
      <w:r>
        <w:rPr>
          <w:rFonts w:ascii="inherit" w:hAnsi="inherit" w:cs="Helvetica"/>
          <w:color w:val="444444"/>
          <w:sz w:val="18"/>
          <w:szCs w:val="18"/>
          <w:lang w:val="en-US"/>
        </w:rPr>
        <w:br/>
      </w:r>
      <w:r>
        <w:rPr>
          <w:rFonts w:ascii="inherit" w:hAnsi="inherit" w:cs="Helvetica"/>
          <w:color w:val="444444"/>
          <w:sz w:val="18"/>
          <w:szCs w:val="18"/>
          <w:lang w:val="en-US"/>
        </w:rPr>
        <w:br/>
      </w:r>
      <w:r>
        <w:rPr>
          <w:rFonts w:ascii="inherit" w:hAnsi="inherit" w:cs="Helvetica"/>
          <w:color w:val="444444"/>
          <w:sz w:val="18"/>
          <w:szCs w:val="18"/>
          <w:lang w:val="en-US"/>
        </w:rPr>
        <w:t>Peter-Paul Verbeek (1970) is distinguished professor (</w:t>
      </w:r>
      <w:proofErr w:type="spellStart"/>
      <w:r>
        <w:rPr>
          <w:rFonts w:ascii="inherit" w:hAnsi="inherit" w:cs="Helvetica"/>
          <w:color w:val="444444"/>
          <w:sz w:val="18"/>
          <w:szCs w:val="18"/>
          <w:lang w:val="en-US"/>
        </w:rPr>
        <w:t>universiteitshoogleraar</w:t>
      </w:r>
      <w:proofErr w:type="spellEnd"/>
      <w:r>
        <w:rPr>
          <w:rFonts w:ascii="inherit" w:hAnsi="inherit" w:cs="Helvetica"/>
          <w:color w:val="444444"/>
          <w:sz w:val="18"/>
          <w:szCs w:val="18"/>
          <w:lang w:val="en-US"/>
        </w:rPr>
        <w:t xml:space="preserve">) of philosophy of technology at the Department of Philosophy of the University of Twente. He is chair of the Philosophy of Human-Technology Relations research group and co-director of the </w:t>
      </w:r>
      <w:proofErr w:type="spellStart"/>
      <w:r>
        <w:rPr>
          <w:rFonts w:ascii="inherit" w:hAnsi="inherit" w:cs="Helvetica"/>
          <w:color w:val="444444"/>
          <w:sz w:val="18"/>
          <w:szCs w:val="18"/>
          <w:lang w:val="en-US"/>
        </w:rPr>
        <w:t>DesignLab</w:t>
      </w:r>
      <w:proofErr w:type="spellEnd"/>
      <w:r>
        <w:rPr>
          <w:rFonts w:ascii="inherit" w:hAnsi="inherit" w:cs="Helvetica"/>
          <w:color w:val="444444"/>
          <w:sz w:val="18"/>
          <w:szCs w:val="18"/>
          <w:lang w:val="en-US"/>
        </w:rPr>
        <w:t xml:space="preserve"> of the University of Twente. He is also honorary professor of Techno-Anthropology at Aalborg University, including its Copenhagen campus. His research focuses on the philosophy of human-technology relations, in relation to philosophical theory, ethical reflection, and practices of design and innovation. In 2014, he received a VICI award from the Netherlands Organization for Scientific Research (a personal grant for innovative research) to develop a theory of technological mediation, aiming to theorize how technologies play a mediating role in scientific practices, ethical frameworks, and religion, and how this mediating role of technologies can be included in design practices. Earlier he received a VIDI-award (2008), for studying human enhancement technologies and the blurring boundaries between humans and technologies, and a VENI-award (2004), for studying the moral significance of technology, and its implications for design. From 2010 until 2012 he held the Socrates chair of philosophy at Delft University of Technology; in 2006 he was guest professor of philosophy of technology at Aarhus University, Denmark.</w:t>
      </w:r>
    </w:p>
    <w:p w:rsidR="00F16F01" w:rsidRDefault="00F16F01" w:rsidP="00F16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444444"/>
          <w:sz w:val="18"/>
          <w:szCs w:val="18"/>
          <w:lang w:val="en-US"/>
        </w:rPr>
      </w:pPr>
      <w:r>
        <w:rPr>
          <w:rFonts w:ascii="inherit" w:hAnsi="inherit" w:cs="Helvetica"/>
          <w:color w:val="444444"/>
          <w:sz w:val="18"/>
          <w:szCs w:val="18"/>
          <w:lang w:val="en-US"/>
        </w:rPr>
        <w:t>Verbeek is chairperson of the </w:t>
      </w:r>
      <w:hyperlink r:id="rId4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UNESCO World Commission for the Ethics of Science and Technology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 (COMEST). He is also a member of the board of the </w:t>
      </w:r>
      <w:hyperlink r:id="rId5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Rathenau Institute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, the Dutch Council for the Humanities (KNAW), the Supervisory Board of </w:t>
      </w:r>
      <w:hyperlink r:id="rId6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TNO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 (Dutch Organization for applied scientific research), the program council for </w:t>
      </w:r>
      <w:hyperlink r:id="rId7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Responsible Innovation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 (NWO – Netherlands Organization for Scientific Research), the Netherlands </w:t>
      </w:r>
      <w:hyperlink r:id="rId8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National Commission for UNESCO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, the KNAW Committee for the </w:t>
      </w:r>
      <w:hyperlink r:id="rId9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Freedom of Scientific Pursuit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, and the Sector Plan Committee for Social Science and Humanities of the Dutch Ministry of Education, Culture, and Science. Between 2013 and 2015 he was President of the </w:t>
      </w:r>
      <w:hyperlink r:id="rId10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Society for Philosophy and Technology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; between 2011 and 2013 he was chairperson of ‘</w:t>
      </w:r>
      <w:hyperlink r:id="rId11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The Young Academy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’, an independent division of the Royal Netherlands Academy of Arts and Sciences. He is member of the Royal Netherlands Academy of Arts and Sciences (</w:t>
      </w:r>
      <w:hyperlink r:id="rId12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KNAW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>), the Academy for Technology and Innovation (</w:t>
      </w:r>
      <w:proofErr w:type="spellStart"/>
      <w:r>
        <w:rPr>
          <w:rFonts w:ascii="inherit" w:hAnsi="inherit" w:cs="Helvetica"/>
          <w:color w:val="444444"/>
          <w:sz w:val="18"/>
          <w:szCs w:val="18"/>
        </w:rPr>
        <w:fldChar w:fldCharType="begin"/>
      </w:r>
      <w:r>
        <w:rPr>
          <w:rFonts w:ascii="inherit" w:hAnsi="inherit" w:cs="Helvetica"/>
          <w:color w:val="444444"/>
          <w:sz w:val="18"/>
          <w:szCs w:val="18"/>
        </w:rPr>
        <w:instrText xml:space="preserve"> HYPERLINK "https://www.acti-nl.org/en/homepage?set_language=en" </w:instrText>
      </w:r>
      <w:r>
        <w:rPr>
          <w:rFonts w:ascii="inherit" w:hAnsi="inherit" w:cs="Helvetica"/>
          <w:color w:val="444444"/>
          <w:sz w:val="18"/>
          <w:szCs w:val="18"/>
        </w:rPr>
        <w:fldChar w:fldCharType="separate"/>
      </w:r>
      <w:r>
        <w:rPr>
          <w:rStyle w:val="Lienhypertexte"/>
          <w:rFonts w:ascii="inherit" w:hAnsi="inherit" w:cs="Helvetica"/>
          <w:color w:val="0DA4D3"/>
          <w:sz w:val="18"/>
          <w:szCs w:val="18"/>
          <w:bdr w:val="none" w:sz="0" w:space="0" w:color="auto" w:frame="1"/>
          <w:lang w:val="en-US"/>
        </w:rPr>
        <w:t>AcTI</w:t>
      </w:r>
      <w:proofErr w:type="spellEnd"/>
      <w:r>
        <w:rPr>
          <w:rFonts w:ascii="inherit" w:hAnsi="inherit" w:cs="Helvetica"/>
          <w:color w:val="444444"/>
          <w:sz w:val="18"/>
          <w:szCs w:val="18"/>
        </w:rPr>
        <w:fldChar w:fldCharType="end"/>
      </w:r>
      <w:r>
        <w:rPr>
          <w:rFonts w:ascii="inherit" w:hAnsi="inherit" w:cs="Helvetica"/>
          <w:color w:val="444444"/>
          <w:sz w:val="18"/>
          <w:szCs w:val="18"/>
          <w:lang w:val="en-US"/>
        </w:rPr>
        <w:t>) and of the Royal Holland Society of Sciences (</w:t>
      </w:r>
      <w:hyperlink r:id="rId13" w:history="1">
        <w:r>
          <w:rPr>
            <w:rStyle w:val="Lienhypertexte"/>
            <w:rFonts w:ascii="inherit" w:hAnsi="inherit" w:cs="Helvetica"/>
            <w:color w:val="0DA4D3"/>
            <w:sz w:val="18"/>
            <w:szCs w:val="18"/>
            <w:bdr w:val="none" w:sz="0" w:space="0" w:color="auto" w:frame="1"/>
            <w:lang w:val="en-US"/>
          </w:rPr>
          <w:t>KHMW</w:t>
        </w:r>
      </w:hyperlink>
      <w:r>
        <w:rPr>
          <w:rFonts w:ascii="inherit" w:hAnsi="inherit" w:cs="Helvetica"/>
          <w:color w:val="444444"/>
          <w:sz w:val="18"/>
          <w:szCs w:val="18"/>
          <w:lang w:val="en-US"/>
        </w:rPr>
        <w:t xml:space="preserve">). In 2012, he received the </w:t>
      </w:r>
      <w:proofErr w:type="spellStart"/>
      <w:r>
        <w:rPr>
          <w:rFonts w:ascii="inherit" w:hAnsi="inherit" w:cs="Helvetica"/>
          <w:color w:val="444444"/>
          <w:sz w:val="18"/>
          <w:szCs w:val="18"/>
          <w:lang w:val="en-US"/>
        </w:rPr>
        <w:t>Borghgraef</w:t>
      </w:r>
      <w:proofErr w:type="spellEnd"/>
      <w:r>
        <w:rPr>
          <w:rFonts w:ascii="inherit" w:hAnsi="inherit" w:cs="Helvetica"/>
          <w:color w:val="444444"/>
          <w:sz w:val="18"/>
          <w:szCs w:val="18"/>
          <w:lang w:val="en-US"/>
        </w:rPr>
        <w:t xml:space="preserve"> Prize (KU Leuven) in biomedical ethics. In 2016, he was awarded the World Technology Award in Ethics.</w:t>
      </w:r>
    </w:p>
    <w:p w:rsidR="00F16F01" w:rsidRDefault="00F16F01" w:rsidP="00F16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444444"/>
          <w:sz w:val="18"/>
          <w:szCs w:val="18"/>
          <w:lang w:val="en-US"/>
        </w:rPr>
      </w:pPr>
      <w:r>
        <w:rPr>
          <w:rFonts w:ascii="inherit" w:hAnsi="inherit" w:cs="Helvetica"/>
          <w:color w:val="444444"/>
          <w:sz w:val="18"/>
          <w:szCs w:val="18"/>
          <w:lang w:val="en-US"/>
        </w:rPr>
        <w:t>Peter-Paul Verbeek is author of </w:t>
      </w:r>
      <w:r>
        <w:rPr>
          <w:rStyle w:val="Accentuation"/>
          <w:rFonts w:ascii="inherit" w:hAnsi="inherit" w:cs="Helvetica"/>
          <w:color w:val="444444"/>
          <w:sz w:val="18"/>
          <w:szCs w:val="18"/>
          <w:bdr w:val="none" w:sz="0" w:space="0" w:color="auto" w:frame="1"/>
          <w:lang w:val="en-US"/>
        </w:rPr>
        <w:t>Moralizing Technology: Understanding and Designing the Morality of Things</w:t>
      </w:r>
      <w:r>
        <w:rPr>
          <w:rFonts w:ascii="inherit" w:hAnsi="inherit" w:cs="Helvetica"/>
          <w:color w:val="444444"/>
          <w:sz w:val="18"/>
          <w:szCs w:val="18"/>
          <w:lang w:val="en-US"/>
        </w:rPr>
        <w:t> (University of Chicago Press, 2011), in which he analyzes the moral significance of technologies, and its implications for ethical theory and for design practices. He also published </w:t>
      </w:r>
      <w:r>
        <w:rPr>
          <w:rStyle w:val="Accentuation"/>
          <w:rFonts w:ascii="inherit" w:hAnsi="inherit" w:cs="Helvetica"/>
          <w:color w:val="444444"/>
          <w:sz w:val="18"/>
          <w:szCs w:val="18"/>
          <w:bdr w:val="none" w:sz="0" w:space="0" w:color="auto" w:frame="1"/>
          <w:lang w:val="en-US"/>
        </w:rPr>
        <w:t>What Things Do: Philosophical Reflections on Technology, Agency, and Design </w:t>
      </w:r>
      <w:r>
        <w:rPr>
          <w:rFonts w:ascii="inherit" w:hAnsi="inherit" w:cs="Helvetica"/>
          <w:color w:val="444444"/>
          <w:sz w:val="18"/>
          <w:szCs w:val="18"/>
          <w:lang w:val="en-US"/>
        </w:rPr>
        <w:t>(Penn State University Press, 2005), which investigates how technologies mediate human actions and experiences, with applications to industrial design. He is co-editor of the volumes </w:t>
      </w:r>
      <w:proofErr w:type="spellStart"/>
      <w:r>
        <w:rPr>
          <w:rStyle w:val="Accentuation"/>
          <w:rFonts w:ascii="inherit" w:hAnsi="inherit" w:cs="Helvetica"/>
          <w:color w:val="444444"/>
          <w:sz w:val="18"/>
          <w:szCs w:val="18"/>
          <w:bdr w:val="none" w:sz="0" w:space="0" w:color="auto" w:frame="1"/>
          <w:lang w:val="en-US"/>
        </w:rPr>
        <w:t>Postphenomenological</w:t>
      </w:r>
      <w:proofErr w:type="spellEnd"/>
      <w:r>
        <w:rPr>
          <w:rStyle w:val="Accentuation"/>
          <w:rFonts w:ascii="inherit" w:hAnsi="inherit" w:cs="Helvetica"/>
          <w:color w:val="444444"/>
          <w:sz w:val="18"/>
          <w:szCs w:val="18"/>
          <w:bdr w:val="none" w:sz="0" w:space="0" w:color="auto" w:frame="1"/>
          <w:lang w:val="en-US"/>
        </w:rPr>
        <w:t xml:space="preserve"> Investigations: Essays on Human-Technology Relations </w:t>
      </w:r>
      <w:r>
        <w:rPr>
          <w:rFonts w:ascii="inherit" w:hAnsi="inherit" w:cs="Helvetica"/>
          <w:color w:val="444444"/>
          <w:sz w:val="18"/>
          <w:szCs w:val="18"/>
          <w:lang w:val="en-US"/>
        </w:rPr>
        <w:t>(Lexington 2015, with Robert Rosenberger), </w:t>
      </w:r>
      <w:r>
        <w:rPr>
          <w:rStyle w:val="Accentuation"/>
          <w:rFonts w:ascii="inherit" w:hAnsi="inherit" w:cs="Helvetica"/>
          <w:color w:val="444444"/>
          <w:sz w:val="18"/>
          <w:szCs w:val="18"/>
          <w:bdr w:val="none" w:sz="0" w:space="0" w:color="auto" w:frame="1"/>
          <w:lang w:val="en-US"/>
        </w:rPr>
        <w:t>The Moral Status of Technical Artefacts </w:t>
      </w:r>
      <w:r>
        <w:rPr>
          <w:rFonts w:ascii="inherit" w:hAnsi="inherit" w:cs="Helvetica"/>
          <w:color w:val="444444"/>
          <w:sz w:val="18"/>
          <w:szCs w:val="18"/>
          <w:lang w:val="en-US"/>
        </w:rPr>
        <w:t xml:space="preserve">(Springer 2014, with Peter </w:t>
      </w:r>
      <w:proofErr w:type="spellStart"/>
      <w:r>
        <w:rPr>
          <w:rFonts w:ascii="inherit" w:hAnsi="inherit" w:cs="Helvetica"/>
          <w:color w:val="444444"/>
          <w:sz w:val="18"/>
          <w:szCs w:val="18"/>
          <w:lang w:val="en-US"/>
        </w:rPr>
        <w:t>Kroes</w:t>
      </w:r>
      <w:proofErr w:type="spellEnd"/>
      <w:r>
        <w:rPr>
          <w:rFonts w:ascii="inherit" w:hAnsi="inherit" w:cs="Helvetica"/>
          <w:color w:val="444444"/>
          <w:sz w:val="18"/>
          <w:szCs w:val="18"/>
          <w:lang w:val="en-US"/>
        </w:rPr>
        <w:t>), and </w:t>
      </w:r>
      <w:r>
        <w:rPr>
          <w:rStyle w:val="Accentuation"/>
          <w:rFonts w:ascii="inherit" w:hAnsi="inherit" w:cs="Helvetica"/>
          <w:color w:val="444444"/>
          <w:sz w:val="18"/>
          <w:szCs w:val="18"/>
          <w:bdr w:val="none" w:sz="0" w:space="0" w:color="auto" w:frame="1"/>
          <w:lang w:val="en-US"/>
        </w:rPr>
        <w:t>User Behavior and Technology Design – Shaping Sustainable Relations between Consumers and Technologies</w:t>
      </w:r>
      <w:r>
        <w:rPr>
          <w:rFonts w:ascii="inherit" w:hAnsi="inherit" w:cs="Helvetica"/>
          <w:color w:val="444444"/>
          <w:sz w:val="18"/>
          <w:szCs w:val="18"/>
          <w:lang w:val="en-US"/>
        </w:rPr>
        <w:t xml:space="preserve"> (Springer 2006, with </w:t>
      </w:r>
      <w:proofErr w:type="spellStart"/>
      <w:r>
        <w:rPr>
          <w:rFonts w:ascii="inherit" w:hAnsi="inherit" w:cs="Helvetica"/>
          <w:color w:val="444444"/>
          <w:sz w:val="18"/>
          <w:szCs w:val="18"/>
          <w:lang w:val="en-US"/>
        </w:rPr>
        <w:t>Adriaan</w:t>
      </w:r>
      <w:proofErr w:type="spellEnd"/>
      <w:r>
        <w:rPr>
          <w:rFonts w:ascii="inherit" w:hAnsi="inherit" w:cs="Helvetica"/>
          <w:color w:val="444444"/>
          <w:sz w:val="18"/>
          <w:szCs w:val="18"/>
          <w:lang w:val="en-US"/>
        </w:rPr>
        <w:t xml:space="preserve"> Slob).</w:t>
      </w:r>
    </w:p>
    <w:p w:rsidR="00F16F01" w:rsidRDefault="00F16F01" w:rsidP="00F16F01">
      <w:pPr>
        <w:ind w:left="720"/>
        <w:rPr>
          <w:lang w:val="en-US"/>
        </w:rPr>
      </w:pPr>
    </w:p>
    <w:p w:rsidR="00C96F10" w:rsidRPr="00F16F01" w:rsidRDefault="00C96F10">
      <w:pPr>
        <w:rPr>
          <w:lang w:val="en-US"/>
        </w:rPr>
      </w:pPr>
    </w:p>
    <w:sectPr w:rsidR="00C96F10" w:rsidRPr="00F16F01" w:rsidSect="00C215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01"/>
    <w:rsid w:val="00294021"/>
    <w:rsid w:val="00BC3BF1"/>
    <w:rsid w:val="00C215F6"/>
    <w:rsid w:val="00C96F10"/>
    <w:rsid w:val="00F16F01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B510"/>
  <w15:chartTrackingRefBased/>
  <w15:docId w15:val="{6555A0C2-F46A-4719-8711-94CC526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F01"/>
    <w:pPr>
      <w:spacing w:line="256" w:lineRule="auto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6F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Accentuation">
    <w:name w:val="Emphasis"/>
    <w:basedOn w:val="Policepardfaut"/>
    <w:uiPriority w:val="20"/>
    <w:qFormat/>
    <w:rsid w:val="00F16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nl/nl/nederlandse-unesco-commissie" TargetMode="External"/><Relationship Id="rId13" Type="http://schemas.openxmlformats.org/officeDocument/2006/relationships/hyperlink" Target="https://www.khmw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wo-mvi.nl/" TargetMode="External"/><Relationship Id="rId12" Type="http://schemas.openxmlformats.org/officeDocument/2006/relationships/hyperlink" Target="http://www.knaw.nl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o.nl/en/" TargetMode="External"/><Relationship Id="rId11" Type="http://schemas.openxmlformats.org/officeDocument/2006/relationships/hyperlink" Target="https://www.knaw.nl/en/about-us/the-young-academy?set_language=en" TargetMode="External"/><Relationship Id="rId5" Type="http://schemas.openxmlformats.org/officeDocument/2006/relationships/hyperlink" Target="https://www.rathenau.nl/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t.org/" TargetMode="External"/><Relationship Id="rId4" Type="http://schemas.openxmlformats.org/officeDocument/2006/relationships/hyperlink" Target="http://www.unesco.org/new/en/social-and-human-sciences/themes/comest/" TargetMode="External"/><Relationship Id="rId9" Type="http://schemas.openxmlformats.org/officeDocument/2006/relationships/hyperlink" Target="https://knaw.nl/en/advisory-work/advisory-councils-and-committees/committee-freedom-scientific-pursuit?set_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Michelante</dc:creator>
  <cp:keywords/>
  <dc:description/>
  <cp:lastModifiedBy>Graziella Michelante</cp:lastModifiedBy>
  <cp:revision>1</cp:revision>
  <dcterms:created xsi:type="dcterms:W3CDTF">2019-10-08T10:37:00Z</dcterms:created>
  <dcterms:modified xsi:type="dcterms:W3CDTF">2019-10-08T10:42:00Z</dcterms:modified>
</cp:coreProperties>
</file>